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C0C4C" w14:textId="2B71CEE6" w:rsidR="004E3FEA" w:rsidRPr="00C5488A" w:rsidRDefault="00DD375D" w:rsidP="001E200A">
      <w:pPr>
        <w:pageBreakBefore/>
        <w:spacing w:after="0" w:line="276" w:lineRule="auto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 xml:space="preserve">COMUNE DI </w:t>
      </w:r>
      <w:r w:rsidR="00E52328">
        <w:rPr>
          <w:rFonts w:ascii="Titillium" w:hAnsi="Titillium" w:cs="Times New Roman"/>
          <w:sz w:val="20"/>
          <w:szCs w:val="20"/>
        </w:rPr>
        <w:t>TRINITA’ D’AGULTU E VIGNOLA</w:t>
      </w:r>
      <w:r>
        <w:rPr>
          <w:rFonts w:ascii="Titillium" w:hAnsi="Titillium" w:cs="Times New Roman"/>
          <w:sz w:val="20"/>
          <w:szCs w:val="20"/>
        </w:rPr>
        <w:t xml:space="preserve"> -</w:t>
      </w:r>
      <w:r w:rsidR="001E1FCF">
        <w:rPr>
          <w:rFonts w:ascii="Titillium" w:hAnsi="Titillium" w:cs="Times New Roman"/>
          <w:sz w:val="20"/>
          <w:szCs w:val="20"/>
        </w:rPr>
        <w:t xml:space="preserve"> </w:t>
      </w:r>
      <w:r>
        <w:rPr>
          <w:rFonts w:ascii="Titillium" w:hAnsi="Titillium" w:cs="Times New Roman"/>
          <w:sz w:val="20"/>
          <w:szCs w:val="20"/>
        </w:rPr>
        <w:t>NUCLEO DI VALUTAZIONE</w:t>
      </w:r>
    </w:p>
    <w:p w14:paraId="397081EC" w14:textId="77777777" w:rsidR="00764C40" w:rsidRPr="00C5488A" w:rsidRDefault="00764C40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</w:p>
    <w:p w14:paraId="2C350B0F" w14:textId="77777777" w:rsidR="004E3FEA" w:rsidRPr="00C5488A" w:rsidRDefault="00782E5B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 w:rsidRPr="00C5488A">
        <w:rPr>
          <w:rFonts w:ascii="Titillium" w:hAnsi="Titillium" w:cs="Times New Roman"/>
          <w:b/>
          <w:bCs/>
          <w:sz w:val="20"/>
          <w:szCs w:val="20"/>
        </w:rPr>
        <w:t xml:space="preserve">Documento di attestazione </w:t>
      </w:r>
    </w:p>
    <w:p w14:paraId="09F60D81" w14:textId="58F00F58" w:rsidR="004E3FEA" w:rsidRPr="00987C24" w:rsidRDefault="0000342C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color w:val="000000" w:themeColor="text1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 xml:space="preserve">Il Nucleo di Valutazione </w:t>
      </w:r>
      <w:r w:rsidR="008267DE">
        <w:rPr>
          <w:rFonts w:ascii="Titillium" w:hAnsi="Titillium" w:cs="Times New Roman"/>
          <w:sz w:val="20"/>
          <w:szCs w:val="20"/>
        </w:rPr>
        <w:t>del comune di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 </w:t>
      </w:r>
      <w:r w:rsidR="00E52328">
        <w:rPr>
          <w:rFonts w:ascii="Titillium" w:hAnsi="Titillium" w:cs="Times New Roman"/>
          <w:sz w:val="20"/>
          <w:szCs w:val="20"/>
        </w:rPr>
        <w:t xml:space="preserve">Trinità d’Agultu e Vignola </w:t>
      </w:r>
      <w:r w:rsidR="00782E5B" w:rsidRPr="00C5488A">
        <w:rPr>
          <w:rFonts w:ascii="Titillium" w:hAnsi="Titillium" w:cs="Times New Roman"/>
          <w:sz w:val="20"/>
          <w:szCs w:val="20"/>
        </w:rPr>
        <w:t>ha effettuato</w:t>
      </w:r>
      <w:r w:rsidR="00DA74D8" w:rsidRPr="00C5488A">
        <w:rPr>
          <w:rFonts w:ascii="Titillium" w:hAnsi="Titillium" w:cs="Times New Roman"/>
          <w:sz w:val="20"/>
          <w:szCs w:val="20"/>
        </w:rPr>
        <w:t>,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 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ai sensi dell’art. 14, co. 4, lett. g), del d.lgs. n. 150/2009 e delle </w:t>
      </w:r>
      <w:r w:rsidR="00DA74D8" w:rsidRPr="00C5488A">
        <w:rPr>
          <w:rFonts w:ascii="Titillium" w:hAnsi="Titillium" w:cs="Times New Roman"/>
          <w:b/>
          <w:sz w:val="20"/>
          <w:szCs w:val="20"/>
        </w:rPr>
        <w:t xml:space="preserve">delibere ANAC n. 1310/2016 e </w:t>
      </w:r>
      <w:r w:rsidR="00A30748" w:rsidRPr="00C5488A">
        <w:rPr>
          <w:rFonts w:ascii="Titillium" w:hAnsi="Titillium" w:cs="Times New Roman"/>
          <w:b/>
          <w:sz w:val="20"/>
          <w:szCs w:val="20"/>
        </w:rPr>
        <w:t xml:space="preserve">n. </w:t>
      </w:r>
      <w:r w:rsidR="006F7903">
        <w:rPr>
          <w:rFonts w:ascii="Titillium" w:hAnsi="Titillium" w:cs="Times New Roman"/>
          <w:b/>
          <w:sz w:val="20"/>
          <w:szCs w:val="20"/>
        </w:rPr>
        <w:t>201</w:t>
      </w:r>
      <w:r w:rsidR="00084790" w:rsidRPr="00C5488A">
        <w:rPr>
          <w:rFonts w:ascii="Titillium" w:hAnsi="Titillium" w:cs="Times New Roman"/>
          <w:b/>
          <w:sz w:val="20"/>
          <w:szCs w:val="20"/>
        </w:rPr>
        <w:t>/</w:t>
      </w:r>
      <w:r w:rsidR="003526DB" w:rsidRPr="00C5488A">
        <w:rPr>
          <w:rFonts w:ascii="Titillium" w:hAnsi="Titillium" w:cs="Times New Roman"/>
          <w:b/>
          <w:sz w:val="20"/>
          <w:szCs w:val="20"/>
        </w:rPr>
        <w:t>202</w:t>
      </w:r>
      <w:r w:rsidR="002E071E">
        <w:rPr>
          <w:rFonts w:ascii="Titillium" w:hAnsi="Titillium" w:cs="Times New Roman"/>
          <w:b/>
          <w:sz w:val="20"/>
          <w:szCs w:val="20"/>
        </w:rPr>
        <w:t>2</w:t>
      </w:r>
      <w:r w:rsidR="003526DB" w:rsidRPr="00C5488A">
        <w:rPr>
          <w:rFonts w:ascii="Titillium" w:hAnsi="Titillium" w:cs="Times New Roman"/>
          <w:b/>
          <w:sz w:val="20"/>
          <w:szCs w:val="20"/>
        </w:rPr>
        <w:t xml:space="preserve">, </w:t>
      </w:r>
      <w:r w:rsidR="00782E5B" w:rsidRPr="00C5488A">
        <w:rPr>
          <w:rFonts w:ascii="Titillium" w:hAnsi="Titillium" w:cs="Times New Roman"/>
          <w:sz w:val="20"/>
          <w:szCs w:val="20"/>
        </w:rPr>
        <w:t>la verifica sulla completezza</w:t>
      </w:r>
      <w:r w:rsidR="003B7929">
        <w:rPr>
          <w:rFonts w:ascii="Titillium" w:hAnsi="Titillium" w:cs="Times New Roman"/>
          <w:sz w:val="20"/>
          <w:szCs w:val="20"/>
        </w:rPr>
        <w:t xml:space="preserve"> 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>del formato di ciascun documento, dato ed infor</w:t>
      </w:r>
      <w:r w:rsidR="009517B8" w:rsidRPr="00987C24">
        <w:rPr>
          <w:rFonts w:ascii="Titillium" w:hAnsi="Titillium" w:cs="Times New Roman"/>
          <w:color w:val="000000" w:themeColor="text1"/>
          <w:sz w:val="20"/>
          <w:szCs w:val="20"/>
        </w:rPr>
        <w:t>mazione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– Griglia di rilevazione al </w:t>
      </w:r>
      <w:r w:rsidR="00167FEA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31 </w:t>
      </w:r>
      <w:r w:rsidR="003B7929">
        <w:rPr>
          <w:rFonts w:ascii="Titillium" w:hAnsi="Titillium" w:cs="Times New Roman"/>
          <w:b/>
          <w:color w:val="000000" w:themeColor="text1"/>
          <w:sz w:val="20"/>
          <w:szCs w:val="20"/>
        </w:rPr>
        <w:t>ottobre</w:t>
      </w:r>
      <w:r w:rsidR="00A30748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202</w:t>
      </w:r>
      <w:r w:rsidR="002E071E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>2</w:t>
      </w:r>
      <w:r w:rsidR="00E70EBB" w:rsidRPr="006F7903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</w:t>
      </w:r>
      <w:r w:rsidR="006457A5" w:rsidRPr="006F7903">
        <w:rPr>
          <w:rFonts w:ascii="Titillium" w:hAnsi="Titillium" w:cs="Times New Roman"/>
          <w:color w:val="000000" w:themeColor="text1"/>
          <w:sz w:val="20"/>
          <w:szCs w:val="20"/>
        </w:rPr>
        <w:t>della</w:t>
      </w:r>
      <w:r w:rsidR="006457A5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delibera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</w:t>
      </w:r>
      <w:r w:rsidR="00A30748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n. </w:t>
      </w:r>
      <w:r w:rsidR="006F7903">
        <w:rPr>
          <w:rFonts w:ascii="Titillium" w:hAnsi="Titillium" w:cs="Times New Roman"/>
          <w:color w:val="000000" w:themeColor="text1"/>
          <w:sz w:val="20"/>
          <w:szCs w:val="20"/>
        </w:rPr>
        <w:t>201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/202</w:t>
      </w:r>
      <w:r w:rsidR="002E071E">
        <w:rPr>
          <w:rFonts w:ascii="Titillium" w:hAnsi="Titillium" w:cs="Times New Roman"/>
          <w:color w:val="000000" w:themeColor="text1"/>
          <w:sz w:val="20"/>
          <w:szCs w:val="20"/>
        </w:rPr>
        <w:t>2</w:t>
      </w:r>
    </w:p>
    <w:p w14:paraId="3F70B32E" w14:textId="47BF1B1C" w:rsidR="004869E2" w:rsidRPr="00C5488A" w:rsidRDefault="0000342C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Il Nucleo di Valutazione</w:t>
      </w:r>
      <w:r w:rsidR="004869E2" w:rsidRPr="00C5488A">
        <w:rPr>
          <w:rFonts w:ascii="Titillium" w:hAnsi="Titillium" w:cs="Times New Roman"/>
          <w:sz w:val="20"/>
          <w:szCs w:val="20"/>
        </w:rPr>
        <w:t xml:space="preserve"> ha svolto gli accertamenti:</w:t>
      </w:r>
    </w:p>
    <w:p w14:paraId="6D0667D8" w14:textId="3F6D863D" w:rsidR="004869E2" w:rsidRPr="00C5488A" w:rsidRDefault="004869E2" w:rsidP="0000342C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tenendo anche conto dei risultati e degli elementi emersi dall’attività di controllo sull’assolvimento degli obblighi di pubblicazione svolta dal Responsabile della 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prevenzione della corruzione e della </w:t>
      </w:r>
      <w:r w:rsidR="00782E5B" w:rsidRPr="00C5488A">
        <w:rPr>
          <w:rFonts w:ascii="Titillium" w:hAnsi="Titillium" w:cs="Times New Roman"/>
          <w:sz w:val="20"/>
          <w:szCs w:val="20"/>
        </w:rPr>
        <w:t>trasparenza ai sensi dell’art. 43, c</w:t>
      </w:r>
      <w:r w:rsidR="00F81E69" w:rsidRPr="00C5488A">
        <w:rPr>
          <w:rFonts w:ascii="Titillium" w:hAnsi="Titillium" w:cs="Times New Roman"/>
          <w:sz w:val="20"/>
          <w:szCs w:val="20"/>
        </w:rPr>
        <w:t>o</w:t>
      </w:r>
      <w:r w:rsidR="00782E5B" w:rsidRPr="00C5488A">
        <w:rPr>
          <w:rFonts w:ascii="Titillium" w:hAnsi="Titillium" w:cs="Times New Roman"/>
          <w:sz w:val="20"/>
          <w:szCs w:val="20"/>
        </w:rPr>
        <w:t>. 1, del d.lgs. n. 33/2013</w:t>
      </w:r>
      <w:r w:rsidR="0000342C">
        <w:rPr>
          <w:rFonts w:ascii="Courier New" w:hAnsi="Courier New" w:cs="Courier New"/>
          <w:sz w:val="20"/>
          <w:szCs w:val="20"/>
        </w:rPr>
        <w:t>.</w:t>
      </w:r>
    </w:p>
    <w:p w14:paraId="29CAC3FA" w14:textId="328BF5F0" w:rsidR="004E3FEA" w:rsidRPr="00C5488A" w:rsidRDefault="00782E5B" w:rsidP="001E200A">
      <w:pPr>
        <w:pStyle w:val="Paragrafoelenco"/>
        <w:spacing w:before="120" w:after="0" w:line="276" w:lineRule="auto"/>
        <w:ind w:left="360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Sulla b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ase di quanto sopra, </w:t>
      </w:r>
      <w:r w:rsidR="0000342C">
        <w:rPr>
          <w:rFonts w:ascii="Titillium" w:hAnsi="Titillium" w:cs="Times New Roman"/>
          <w:sz w:val="20"/>
          <w:szCs w:val="20"/>
        </w:rPr>
        <w:t>il Nucleo di Valutazione</w:t>
      </w:r>
      <w:r w:rsidRPr="00C5488A">
        <w:rPr>
          <w:rFonts w:ascii="Titillium" w:hAnsi="Titillium" w:cs="Times New Roman"/>
          <w:sz w:val="20"/>
          <w:szCs w:val="20"/>
        </w:rPr>
        <w:t>, ai sensi dell’art. 14, c</w:t>
      </w:r>
      <w:r w:rsidR="00BF1924" w:rsidRPr="00C5488A">
        <w:rPr>
          <w:rFonts w:ascii="Titillium" w:hAnsi="Titillium" w:cs="Times New Roman"/>
          <w:sz w:val="20"/>
          <w:szCs w:val="20"/>
        </w:rPr>
        <w:t>o</w:t>
      </w:r>
      <w:r w:rsidRPr="00C5488A">
        <w:rPr>
          <w:rFonts w:ascii="Titillium" w:hAnsi="Titillium" w:cs="Times New Roman"/>
          <w:sz w:val="20"/>
          <w:szCs w:val="20"/>
        </w:rPr>
        <w:t>. 4, lett. g), del d.lgs. n. 150/2009</w:t>
      </w:r>
    </w:p>
    <w:p w14:paraId="7722454A" w14:textId="77777777" w:rsidR="00851A73" w:rsidRPr="00C5488A" w:rsidRDefault="00851A73" w:rsidP="001E200A">
      <w:pPr>
        <w:pStyle w:val="Paragrafoelenco"/>
        <w:widowControl/>
        <w:spacing w:before="120" w:after="0" w:line="276" w:lineRule="auto"/>
        <w:ind w:left="388" w:firstLine="0"/>
        <w:jc w:val="center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</w:p>
    <w:p w14:paraId="78C929CE" w14:textId="03E27ABF" w:rsidR="004E3FEA" w:rsidRDefault="00782E5B" w:rsidP="001E200A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la veridicità</w:t>
      </w:r>
      <w:r w:rsidR="00066D41" w:rsidRPr="00C5488A">
        <w:rPr>
          <w:rStyle w:val="Rimandonotaapidipagina"/>
          <w:rFonts w:ascii="Titillium" w:hAnsi="Titillium" w:cs="Times New Roman"/>
          <w:sz w:val="12"/>
          <w:szCs w:val="12"/>
        </w:rPr>
        <w:footnoteReference w:id="1"/>
      </w:r>
      <w:r w:rsidR="00066D41" w:rsidRPr="00C5488A">
        <w:rPr>
          <w:rFonts w:ascii="Titillium" w:hAnsi="Titillium" w:cs="Times New Roman"/>
          <w:sz w:val="12"/>
          <w:szCs w:val="12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e l’attendibilità, alla data dell’attestazione</w:t>
      </w:r>
      <w:r w:rsidRPr="00C5488A">
        <w:rPr>
          <w:rFonts w:ascii="Titillium" w:hAnsi="Titillium"/>
          <w:sz w:val="20"/>
          <w:szCs w:val="20"/>
        </w:rPr>
        <w:t>,</w:t>
      </w:r>
      <w:r w:rsidRPr="00C5488A">
        <w:rPr>
          <w:rFonts w:ascii="Titillium" w:hAnsi="Titillium" w:cs="Times New Roman"/>
          <w:sz w:val="20"/>
          <w:szCs w:val="20"/>
        </w:rPr>
        <w:t xml:space="preserve"> di quanto riportato nell’Allegato</w:t>
      </w:r>
      <w:r w:rsidRPr="00C5488A"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rispetto a quanto pubblicat</w:t>
      </w:r>
      <w:r w:rsidRPr="00C5488A">
        <w:rPr>
          <w:rFonts w:ascii="Titillium" w:hAnsi="Titillium"/>
          <w:sz w:val="20"/>
          <w:szCs w:val="20"/>
        </w:rPr>
        <w:t>o sul si</w:t>
      </w:r>
      <w:r w:rsidR="000B7CB8" w:rsidRPr="00C5488A">
        <w:rPr>
          <w:rFonts w:ascii="Titillium" w:hAnsi="Titillium"/>
          <w:sz w:val="20"/>
          <w:szCs w:val="20"/>
        </w:rPr>
        <w:t>to dell’</w:t>
      </w:r>
      <w:r w:rsidRPr="00C5488A">
        <w:rPr>
          <w:rFonts w:ascii="Titillium" w:hAnsi="Titillium"/>
          <w:sz w:val="20"/>
          <w:szCs w:val="20"/>
        </w:rPr>
        <w:t>ente.</w:t>
      </w:r>
    </w:p>
    <w:p w14:paraId="64FB0487" w14:textId="77777777" w:rsidR="003C3E64" w:rsidRDefault="003C3E64" w:rsidP="001E200A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</w:p>
    <w:p w14:paraId="3ADC5C1D" w14:textId="77777777" w:rsidR="00376023" w:rsidRPr="0041405A" w:rsidRDefault="00376023" w:rsidP="00376023">
      <w:pPr>
        <w:spacing w:line="360" w:lineRule="auto"/>
        <w:rPr>
          <w:rFonts w:ascii="Titillium" w:hAnsi="Titillium"/>
          <w:b/>
          <w:i/>
          <w:sz w:val="20"/>
          <w:szCs w:val="20"/>
        </w:rPr>
      </w:pPr>
      <w:r w:rsidRPr="0041405A">
        <w:rPr>
          <w:rFonts w:ascii="Titillium" w:hAnsi="Titillium"/>
          <w:b/>
          <w:i/>
          <w:sz w:val="20"/>
          <w:szCs w:val="20"/>
        </w:rPr>
        <w:t>Aspetti critici riscontrati nel corso della rilevazione</w:t>
      </w:r>
    </w:p>
    <w:p w14:paraId="532483AD" w14:textId="55030487" w:rsidR="00376023" w:rsidRPr="00C5488A" w:rsidRDefault="0000342C" w:rsidP="001E200A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  <w:r>
        <w:rPr>
          <w:rFonts w:ascii="Titillium" w:hAnsi="Titillium"/>
          <w:sz w:val="20"/>
          <w:szCs w:val="20"/>
        </w:rPr>
        <w:t>Le criticità rilevate alla data del 31 maggio</w:t>
      </w:r>
      <w:r w:rsidR="00E52328">
        <w:rPr>
          <w:rFonts w:ascii="Titillium" w:hAnsi="Titillium"/>
          <w:sz w:val="20"/>
          <w:szCs w:val="20"/>
        </w:rPr>
        <w:t xml:space="preserve"> sono state quasi completamente superate</w:t>
      </w:r>
    </w:p>
    <w:p w14:paraId="5855C2D7" w14:textId="77777777" w:rsidR="004E3FEA" w:rsidRPr="00C5488A" w:rsidRDefault="004E3FEA" w:rsidP="001E200A">
      <w:pPr>
        <w:widowControl/>
        <w:spacing w:line="276" w:lineRule="auto"/>
        <w:rPr>
          <w:rFonts w:ascii="Titillium" w:hAnsi="Titillium" w:cs="Times New Roman"/>
          <w:sz w:val="20"/>
          <w:szCs w:val="20"/>
        </w:rPr>
      </w:pPr>
    </w:p>
    <w:p w14:paraId="6D208772" w14:textId="2496A99A" w:rsidR="00747FDE" w:rsidRPr="00C5488A" w:rsidRDefault="00782E5B" w:rsidP="001E200A">
      <w:pPr>
        <w:spacing w:before="120" w:after="0" w:line="276" w:lineRule="auto"/>
        <w:jc w:val="lef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Data</w:t>
      </w:r>
      <w:r w:rsidR="0000342C">
        <w:rPr>
          <w:rFonts w:ascii="Titillium" w:hAnsi="Titillium" w:cs="Times New Roman"/>
          <w:sz w:val="20"/>
          <w:szCs w:val="20"/>
        </w:rPr>
        <w:t xml:space="preserve"> </w:t>
      </w:r>
      <w:r w:rsidR="00967CE3">
        <w:rPr>
          <w:rFonts w:ascii="Titillium" w:hAnsi="Titillium" w:cs="Times New Roman"/>
          <w:sz w:val="20"/>
          <w:szCs w:val="20"/>
        </w:rPr>
        <w:t>10</w:t>
      </w:r>
      <w:r w:rsidR="0000342C">
        <w:rPr>
          <w:rFonts w:ascii="Titillium" w:hAnsi="Titillium" w:cs="Times New Roman"/>
          <w:sz w:val="20"/>
          <w:szCs w:val="20"/>
        </w:rPr>
        <w:t>.11</w:t>
      </w:r>
      <w:r w:rsidR="00AA52C1">
        <w:rPr>
          <w:rFonts w:ascii="Titillium" w:hAnsi="Titillium" w:cs="Times New Roman"/>
          <w:sz w:val="20"/>
          <w:szCs w:val="20"/>
        </w:rPr>
        <w:t>.</w:t>
      </w:r>
      <w:r w:rsidR="0000342C">
        <w:rPr>
          <w:rFonts w:ascii="Titillium" w:hAnsi="Titillium" w:cs="Times New Roman"/>
          <w:sz w:val="20"/>
          <w:szCs w:val="20"/>
        </w:rPr>
        <w:t>2022</w:t>
      </w:r>
    </w:p>
    <w:p w14:paraId="13F91C59" w14:textId="77777777" w:rsidR="005E04C0" w:rsidRPr="00C5488A" w:rsidRDefault="005E04C0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</w:p>
    <w:p w14:paraId="56C14697" w14:textId="5EA8EF69" w:rsidR="000B7CB8" w:rsidRDefault="000B7CB8" w:rsidP="00484DD6">
      <w:pPr>
        <w:spacing w:before="120" w:after="0" w:line="276" w:lineRule="auto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 xml:space="preserve">Firma dei componenti </w:t>
      </w:r>
      <w:r w:rsidR="0000342C">
        <w:rPr>
          <w:rFonts w:ascii="Titillium" w:hAnsi="Titillium" w:cs="Times New Roman"/>
          <w:sz w:val="20"/>
          <w:szCs w:val="20"/>
        </w:rPr>
        <w:t>il Nucleo di Valutazione</w:t>
      </w:r>
    </w:p>
    <w:p w14:paraId="2D3A78B1" w14:textId="5AB563D7" w:rsidR="00484DD6" w:rsidRPr="00C5488A" w:rsidRDefault="00484DD6" w:rsidP="00484DD6">
      <w:pPr>
        <w:spacing w:before="120" w:after="0" w:line="276" w:lineRule="auto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Dott. Arturo Bianco</w:t>
      </w:r>
    </w:p>
    <w:p w14:paraId="7153C1F2" w14:textId="77777777" w:rsidR="00484DD6" w:rsidRPr="00EF325A" w:rsidRDefault="00484DD6" w:rsidP="00484DD6">
      <w:pPr>
        <w:rPr>
          <w:rFonts w:ascii="Arial" w:hAnsi="Arial" w:cs="Arial"/>
        </w:rPr>
      </w:pPr>
      <w:r w:rsidRPr="00EF325A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5444F82" wp14:editId="18AB0BF7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27530" cy="1136585"/>
            <wp:effectExtent l="0" t="0" r="1270" b="6985"/>
            <wp:wrapSquare wrapText="bothSides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13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br w:type="textWrapping" w:clear="all"/>
      </w:r>
    </w:p>
    <w:p w14:paraId="4FBDFAE7" w14:textId="0E33B92E" w:rsidR="004E3FEA" w:rsidRPr="00C5488A" w:rsidRDefault="004E3FEA" w:rsidP="00484DD6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</w:p>
    <w:sectPr w:rsidR="004E3FEA" w:rsidRPr="00C5488A">
      <w:headerReference w:type="default" r:id="rId12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AA4AA" w14:textId="77777777" w:rsidR="00E15FBE" w:rsidRDefault="00E15FBE">
      <w:pPr>
        <w:spacing w:after="0" w:line="240" w:lineRule="auto"/>
      </w:pPr>
      <w:r>
        <w:separator/>
      </w:r>
    </w:p>
  </w:endnote>
  <w:endnote w:type="continuationSeparator" w:id="0">
    <w:p w14:paraId="09814C12" w14:textId="77777777" w:rsidR="00E15FBE" w:rsidRDefault="00E15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Calibri"/>
    <w:panose1 w:val="020B0604020202020204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2D238" w14:textId="77777777" w:rsidR="00E15FBE" w:rsidRDefault="00E15FBE">
      <w:r>
        <w:separator/>
      </w:r>
    </w:p>
  </w:footnote>
  <w:footnote w:type="continuationSeparator" w:id="0">
    <w:p w14:paraId="53596B24" w14:textId="77777777" w:rsidR="00E15FBE" w:rsidRDefault="00E15FBE">
      <w:r>
        <w:continuationSeparator/>
      </w:r>
    </w:p>
  </w:footnote>
  <w:footnote w:id="1">
    <w:p w14:paraId="62CE3068" w14:textId="77777777" w:rsidR="00066D41" w:rsidRDefault="00066D41" w:rsidP="001E200A">
      <w:pPr>
        <w:pStyle w:val="Testonotaapidipagina"/>
        <w:spacing w:line="240" w:lineRule="auto"/>
      </w:pPr>
      <w:r w:rsidRPr="001E200A">
        <w:rPr>
          <w:rStyle w:val="Rimandonotaapidipagina"/>
          <w:rFonts w:ascii="Titillium" w:hAnsi="Titillium"/>
          <w:sz w:val="12"/>
          <w:szCs w:val="12"/>
        </w:rPr>
        <w:footnoteRef/>
      </w:r>
      <w:r w:rsidRPr="00AA64A3">
        <w:rPr>
          <w:rFonts w:ascii="Titillium" w:hAnsi="Titillium"/>
          <w:sz w:val="18"/>
          <w:szCs w:val="18"/>
        </w:rPr>
        <w:t>Il concetto di veridicità è inteso qui come conformità tr</w:t>
      </w:r>
      <w:r w:rsidR="00FE5393" w:rsidRPr="00AA64A3">
        <w:rPr>
          <w:rFonts w:ascii="Titillium" w:hAnsi="Titillium"/>
          <w:sz w:val="18"/>
          <w:szCs w:val="18"/>
        </w:rPr>
        <w:t xml:space="preserve">a quanto rilevato dall’OIV/altro organismo </w:t>
      </w:r>
      <w:r w:rsidRPr="00AA64A3">
        <w:rPr>
          <w:rFonts w:ascii="Titillium" w:hAnsi="Titillium"/>
          <w:sz w:val="18"/>
          <w:szCs w:val="18"/>
        </w:rPr>
        <w:t xml:space="preserve">con funzioni analoghe nell’Allegato </w:t>
      </w:r>
      <w:r w:rsidR="00727F6D" w:rsidRPr="00AA64A3">
        <w:rPr>
          <w:rFonts w:ascii="Titillium" w:hAnsi="Titillium"/>
          <w:sz w:val="18"/>
          <w:szCs w:val="18"/>
        </w:rPr>
        <w:t>2.1</w:t>
      </w:r>
      <w:r w:rsidRPr="00AA64A3">
        <w:rPr>
          <w:rFonts w:ascii="Titillium" w:hAnsi="Titillium"/>
          <w:sz w:val="18"/>
          <w:szCs w:val="18"/>
        </w:rPr>
        <w:t xml:space="preserve">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BBB1E" w14:textId="07987D46" w:rsidR="004E3FEA" w:rsidRPr="00B91F3C" w:rsidRDefault="004E3FEA" w:rsidP="00B91F3C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 w16cid:durableId="591429609">
    <w:abstractNumId w:val="2"/>
  </w:num>
  <w:num w:numId="2" w16cid:durableId="2039113204">
    <w:abstractNumId w:val="1"/>
  </w:num>
  <w:num w:numId="3" w16cid:durableId="2057655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FEA"/>
    <w:rsid w:val="0000342C"/>
    <w:rsid w:val="00011339"/>
    <w:rsid w:val="00066D41"/>
    <w:rsid w:val="00084790"/>
    <w:rsid w:val="000B0E9A"/>
    <w:rsid w:val="000B7CB8"/>
    <w:rsid w:val="000C1504"/>
    <w:rsid w:val="000C371F"/>
    <w:rsid w:val="000D5314"/>
    <w:rsid w:val="000F5BF6"/>
    <w:rsid w:val="00113654"/>
    <w:rsid w:val="001321A7"/>
    <w:rsid w:val="00167FEA"/>
    <w:rsid w:val="00193B7A"/>
    <w:rsid w:val="001C3EFA"/>
    <w:rsid w:val="001E1FCF"/>
    <w:rsid w:val="001E200A"/>
    <w:rsid w:val="001E538C"/>
    <w:rsid w:val="001F4C4E"/>
    <w:rsid w:val="002201F3"/>
    <w:rsid w:val="0027396B"/>
    <w:rsid w:val="002B07E5"/>
    <w:rsid w:val="002E071E"/>
    <w:rsid w:val="00324847"/>
    <w:rsid w:val="003526DB"/>
    <w:rsid w:val="00376023"/>
    <w:rsid w:val="003B7929"/>
    <w:rsid w:val="003C3E64"/>
    <w:rsid w:val="00417308"/>
    <w:rsid w:val="00452424"/>
    <w:rsid w:val="00453CB8"/>
    <w:rsid w:val="004619A1"/>
    <w:rsid w:val="00484DD6"/>
    <w:rsid w:val="004869E2"/>
    <w:rsid w:val="00490DDD"/>
    <w:rsid w:val="004B3307"/>
    <w:rsid w:val="004E3FEA"/>
    <w:rsid w:val="005148C3"/>
    <w:rsid w:val="005314E6"/>
    <w:rsid w:val="005345A7"/>
    <w:rsid w:val="00542BF8"/>
    <w:rsid w:val="005E04C0"/>
    <w:rsid w:val="005E3451"/>
    <w:rsid w:val="005F5B0C"/>
    <w:rsid w:val="00600B7E"/>
    <w:rsid w:val="00602524"/>
    <w:rsid w:val="006457A5"/>
    <w:rsid w:val="006626ED"/>
    <w:rsid w:val="00674A85"/>
    <w:rsid w:val="006C4F57"/>
    <w:rsid w:val="006F7903"/>
    <w:rsid w:val="0072427D"/>
    <w:rsid w:val="00727F6D"/>
    <w:rsid w:val="00747FDE"/>
    <w:rsid w:val="00764C40"/>
    <w:rsid w:val="0077435D"/>
    <w:rsid w:val="00782E5B"/>
    <w:rsid w:val="007E3898"/>
    <w:rsid w:val="007F0BC7"/>
    <w:rsid w:val="008267DE"/>
    <w:rsid w:val="00851A73"/>
    <w:rsid w:val="00855C1E"/>
    <w:rsid w:val="00863793"/>
    <w:rsid w:val="00893412"/>
    <w:rsid w:val="0092201A"/>
    <w:rsid w:val="00931D8D"/>
    <w:rsid w:val="009517B8"/>
    <w:rsid w:val="00967CE3"/>
    <w:rsid w:val="00987C24"/>
    <w:rsid w:val="009B3EC4"/>
    <w:rsid w:val="009C497A"/>
    <w:rsid w:val="009D2F2E"/>
    <w:rsid w:val="00A01D67"/>
    <w:rsid w:val="00A24BED"/>
    <w:rsid w:val="00A30748"/>
    <w:rsid w:val="00A431C2"/>
    <w:rsid w:val="00A928DF"/>
    <w:rsid w:val="00A93462"/>
    <w:rsid w:val="00AA52C1"/>
    <w:rsid w:val="00AA64A3"/>
    <w:rsid w:val="00AD1A69"/>
    <w:rsid w:val="00AF286D"/>
    <w:rsid w:val="00B15635"/>
    <w:rsid w:val="00B3568E"/>
    <w:rsid w:val="00B505D1"/>
    <w:rsid w:val="00B91F3C"/>
    <w:rsid w:val="00BC601A"/>
    <w:rsid w:val="00BE32EF"/>
    <w:rsid w:val="00BF1924"/>
    <w:rsid w:val="00C017C6"/>
    <w:rsid w:val="00C037C3"/>
    <w:rsid w:val="00C13E06"/>
    <w:rsid w:val="00C205DD"/>
    <w:rsid w:val="00C5488A"/>
    <w:rsid w:val="00CD5018"/>
    <w:rsid w:val="00CE4B1E"/>
    <w:rsid w:val="00D2519E"/>
    <w:rsid w:val="00DA74D8"/>
    <w:rsid w:val="00DC3EB5"/>
    <w:rsid w:val="00DD375D"/>
    <w:rsid w:val="00DF2E3B"/>
    <w:rsid w:val="00E15FBE"/>
    <w:rsid w:val="00E52328"/>
    <w:rsid w:val="00E5425E"/>
    <w:rsid w:val="00E703E1"/>
    <w:rsid w:val="00E70D36"/>
    <w:rsid w:val="00E70EBB"/>
    <w:rsid w:val="00E8003A"/>
    <w:rsid w:val="00E93B7A"/>
    <w:rsid w:val="00EF3010"/>
    <w:rsid w:val="00F070D7"/>
    <w:rsid w:val="00F70C0B"/>
    <w:rsid w:val="00F81E69"/>
    <w:rsid w:val="00FB22A4"/>
    <w:rsid w:val="00FD5F94"/>
    <w:rsid w:val="00FE5393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2E1E5"/>
  <w15:docId w15:val="{E27E2536-A312-4E8C-95F6-06C5D9774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uiPriority w:val="34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6d7638-341e-4c6a-9d94-e49471d54c4a">
      <Terms xmlns="http://schemas.microsoft.com/office/infopath/2007/PartnerControls"/>
    </lcf76f155ced4ddcb4097134ff3c332f>
    <TaxCatchAll xmlns="818e3c02-01f5-4b74-a803-ff90016994e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3E4C7D9B32CB48A1155CEF57466293" ma:contentTypeVersion="13" ma:contentTypeDescription="Creare un nuovo documento." ma:contentTypeScope="" ma:versionID="e6c3e957a71e18db1e5b5023118f6438">
  <xsd:schema xmlns:xsd="http://www.w3.org/2001/XMLSchema" xmlns:xs="http://www.w3.org/2001/XMLSchema" xmlns:p="http://schemas.microsoft.com/office/2006/metadata/properties" xmlns:ns2="856d7638-341e-4c6a-9d94-e49471d54c4a" xmlns:ns3="818e3c02-01f5-4b74-a803-ff90016994ef" targetNamespace="http://schemas.microsoft.com/office/2006/metadata/properties" ma:root="true" ma:fieldsID="204db7d18fd3c1e8010e2ae9eccbe631" ns2:_="" ns3:_="">
    <xsd:import namespace="856d7638-341e-4c6a-9d94-e49471d54c4a"/>
    <xsd:import namespace="818e3c02-01f5-4b74-a803-ff9001699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6d7638-341e-4c6a-9d94-e49471d54c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754b1395-61e6-4490-b7b5-ed8699b63d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e3c02-01f5-4b74-a803-ff9001699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6834b8-3de0-4ca2-8118-235afe7714d7}" ma:internalName="TaxCatchAll" ma:showField="CatchAllData" ma:web="818e3c02-01f5-4b74-a803-ff9001699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5CCFB6-A204-4739-8E17-061DE6840B96}">
  <ds:schemaRefs>
    <ds:schemaRef ds:uri="http://schemas.microsoft.com/office/2006/metadata/properties"/>
    <ds:schemaRef ds:uri="http://schemas.microsoft.com/office/infopath/2007/PartnerControls"/>
    <ds:schemaRef ds:uri="856d7638-341e-4c6a-9d94-e49471d54c4a"/>
    <ds:schemaRef ds:uri="818e3c02-01f5-4b74-a803-ff90016994ef"/>
  </ds:schemaRefs>
</ds:datastoreItem>
</file>

<file path=customXml/itemProps2.xml><?xml version="1.0" encoding="utf-8"?>
<ds:datastoreItem xmlns:ds="http://schemas.openxmlformats.org/officeDocument/2006/customXml" ds:itemID="{CB582B3D-3944-4142-99C2-4F4CDD325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6d7638-341e-4c6a-9d94-e49471d54c4a"/>
    <ds:schemaRef ds:uri="818e3c02-01f5-4b74-a803-ff9001699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25A17B-8454-4AB3-84F3-21FEDD335B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4E6548-450E-4393-A412-53540D4379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Arturo Bianco</cp:lastModifiedBy>
  <cp:revision>3</cp:revision>
  <cp:lastPrinted>2019-02-26T09:22:00Z</cp:lastPrinted>
  <dcterms:created xsi:type="dcterms:W3CDTF">2022-11-12T17:56:00Z</dcterms:created>
  <dcterms:modified xsi:type="dcterms:W3CDTF">2022-11-12T17:56:00Z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0x010100EF3E4C7D9B32CB48A1155CEF57466293</vt:lpwstr>
  </property>
</Properties>
</file>